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719580" cy="1231900"/>
            <wp:effectExtent b="0" l="0" r="0" t="0"/>
            <wp:docPr id="1" name="image2.png"/>
            <a:graphic>
              <a:graphicData uri="http://schemas.openxmlformats.org/drawingml/2006/picture">
                <pic:pic>
                  <pic:nvPicPr>
                    <pic:cNvPr id="0" name="image2.png"/>
                    <pic:cNvPicPr preferRelativeResize="0"/>
                  </pic:nvPicPr>
                  <pic:blipFill>
                    <a:blip r:embed="rId5"/>
                    <a:srcRect b="0" l="0" r="0" t="0"/>
                    <a:stretch>
                      <a:fillRect/>
                    </a:stretch>
                  </pic:blipFill>
                  <pic:spPr>
                    <a:xfrm>
                      <a:off x="0" y="0"/>
                      <a:ext cx="1719580" cy="12319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Risk Assessment for : Indoor Camping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Please use this Risk Assessment as a guide/checklist, and read through as you plan an Indoor Camp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have acknowledged that there may be risks or hazards when undertaking an Indoor Camp and in order to reduce these risks the following will put in 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Prior to camp: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The correct number of leaders/adult helpers to children in order to supervise, taking into account the need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tab/>
        <w:t xml:space="preserve">maintain adequate supervision if an adult is taken ill or injured or required to supervise a patient until released or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tab/>
        <w:t xml:space="preserve">parent/carer collects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Leaders confident in knowing what to do in an emergency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ab/>
        <w:t xml:space="preserve">Health information forms received from all children outlining any special medical conditions (allergies, medication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tab/>
        <w:t xml:space="preserve">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All leaders/adult helpers know of any medical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424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ab/>
        <w:t xml:space="preserve">The person responsible for cooking is aware of any dietary requirements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4240" w:firstLine="72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balanced diet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If there are any young people on the activity with special needs and/or requirements (wheelchair access) venues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tab/>
        <w:t xml:space="preserve">have been check beforehand, individual risk assessments have been done where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A “wet weather” programme will be planned as an alternative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1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Parents/Carers will be given a kit list so that participants can bring the correct clothing and equipment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1720" w:firstLine="72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Some spare equipment and clothing will be brought to camp for those who haven’t brought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1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Weather forecasts will be obtained so preparations can be made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All adults who are coming on camp have CRB’s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Parents/Carers are informed where mixed sex supervision is not available during mix sex visits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138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ab/>
        <w:t xml:space="preserve">Sleeping arrangements are planned so that Leaders do not share rooms with young people (this includes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138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tab/>
        <w:t xml:space="preserve">separate accommodation for young leaders)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204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Arrival and departure times are agreed, and parents are asked to park on the designated car park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2040" w:firstLine="72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Pack a first aid kit, mobile phone (programmed with useful numbers), change for a pay phone,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1440" w:right="204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Check the campsite has a fire risk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On arrival at the camp: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Young People to hand over any medication to be administered along with details regarding dosage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Briefing to include: What to do when lost, areas out of bounds, possible dangers unique to the site, fire evacuation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tab/>
        <w:t xml:space="preserve">procedure, rules and regulations (no running in the buildings, no games which could cause injury, appropriate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 xml:space="preserve">  </w:t>
        <w:tab/>
        <w:t xml:space="preserve">of bathrooms)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Check fire exits are clear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Check all facilities are clean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During the camp: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620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ab/>
        <w:t xml:space="preserve">Monitor the food and drink intake of all participants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6200" w:firstLine="72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Maintain high standards of hygiene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Take regular head counts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750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ab/>
        <w:t xml:space="preserve">Supervise young people at all times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750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ab/>
        <w:t xml:space="preserve">Secure accommodation at 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Ensure leaders can be contacted through the 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Arial" w:cs="Arial" w:eastAsia="Arial" w:hAnsi="Arial"/>
          <w:sz w:val="20"/>
          <w:szCs w:val="20"/>
        </w:rPr>
      </w:pPr>
      <w:r w:rsidDel="00000000" w:rsidR="00000000" w:rsidRPr="00000000">
        <w:rPr>
          <w:rFonts w:ascii="Arial" w:cs="Arial" w:eastAsia="Arial" w:hAnsi="Arial"/>
          <w:sz w:val="20"/>
          <w:szCs w:val="20"/>
          <w:rtl w:val="0"/>
        </w:rPr>
        <w:tab/>
        <w:t xml:space="preserve">Check all young people into their dormitories at lights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right="560" w:firstLine="0"/>
        <w:contextualSpacing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Some campsites have speed limits in place, signing in procedures, and secure access to the sites to improve safety. Individual activities will be risk assessed separately and assessed visually by the leaders during a camp.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Arial" w:cs="Arial" w:eastAsia="Arial" w:hAnsi="Arial"/>
          <w:smallCaps w:val="0"/>
          <w:sz w:val="16"/>
          <w:szCs w:val="16"/>
        </w:rPr>
      </w:pPr>
      <w:r w:rsidDel="00000000" w:rsidR="00000000" w:rsidRPr="00000000">
        <w:rPr>
          <w:rtl w:val="0"/>
        </w:rPr>
      </w:r>
    </w:p>
    <w:sectPr>
      <w:pgSz w:h="11906" w:w="16838"/>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s>
</file>